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等线 Light" w:eastAsia="等线 Light" w:hAnsi="等线 Light"/>
          <w:b/>
          <w:bCs/>
          <w:color w:val="0070C0"/>
          <w:sz w:val="30"/>
          <w:szCs w:val="30"/>
        </w:rPr>
      </w:pPr>
      <w:bookmarkStart w:id="0" w:name="_GoBack"/>
      <w:r>
        <w:rPr>
          <w:rFonts w:ascii="等线 Light" w:eastAsia="等线 Light" w:hAnsi="等线 Light" w:cs="Arial"/>
          <w:b/>
          <w:bCs/>
          <w:color w:val="0070C0"/>
          <w:sz w:val="30"/>
          <w:szCs w:val="30"/>
          <w:shd w:val="clear" w:color="auto" w:fill="FFFFFF"/>
        </w:rPr>
        <w:t>1GE+1FE+1POTS+Dual band WIFI GPON ONT</w:t>
      </w:r>
    </w:p>
    <w:bookmarkEnd w:id="0"/>
    <w:p>
      <w:pPr>
        <w:rPr>
          <w:rFonts w:ascii="等线 Light" w:eastAsia="等线 Light" w:hAnsi="等线 Light"/>
          <w:szCs w:val="21"/>
        </w:rPr>
      </w:pPr>
      <w:r>
        <w:rPr>
          <w:rFonts w:ascii="等线 Light" w:eastAsia="等线 Light" w:hAnsi="等线 Light"/>
          <w:noProof/>
          <w:szCs w:val="21"/>
        </w:rPr>
        <w:drawing>
          <wp:inline distT="0" distB="0" distL="0" distR="0">
            <wp:extent cx="5274310" cy="2047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</w:pPr>
      <w:r>
        <w:rPr>
          <w:rFonts w:ascii="等线 Light" w:eastAsia="等线 Light" w:hAnsi="等线 Light" w:cs="Arial"/>
          <w:b/>
          <w:bCs/>
          <w:color w:val="444444"/>
          <w:szCs w:val="21"/>
          <w:shd w:val="clear" w:color="auto" w:fill="FFFFFF"/>
        </w:rPr>
        <w:t>HT3421GWV-D FTTH GPON ON</w:t>
      </w:r>
      <w:r>
        <w:rPr>
          <w:rFonts w:ascii="等线 Light" w:eastAsia="等线 Light" w:hAnsi="等线 Light" w:cs="Arial"/>
          <w:b/>
          <w:bCs/>
          <w:color w:val="444444"/>
          <w:szCs w:val="21"/>
          <w:shd w:val="clear" w:color="auto" w:fill="FFFFFF"/>
        </w:rPr>
        <w:t>T</w:t>
      </w:r>
      <w:r>
        <w:rPr>
          <w:rFonts w:ascii="等线 Light" w:eastAsia="等线 Light" w:hAnsi="等线 Light" w:cs="Arial"/>
          <w:b/>
          <w:bCs/>
          <w:color w:val="444444"/>
          <w:szCs w:val="21"/>
          <w:shd w:val="clear" w:color="auto" w:fill="FFFFFF"/>
        </w:rPr>
        <w:t xml:space="preserve"> Overview</w:t>
      </w:r>
      <w:r>
        <w:rPr>
          <w:rFonts w:ascii="等线 Light" w:eastAsia="等线 Light" w:hAnsi="等线 Light" w:cs="Arial"/>
          <w:color w:val="444444"/>
          <w:szCs w:val="21"/>
        </w:rPr>
        <w:br/>
      </w:r>
      <w: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  <w:t>By introducing latest fiber GPON access technology, The HT3421GWV-D GPON ONU brings carrier class high-end networking solution for advanced triple play services.  It compliant with ITU-T G.984 standard, dual-band wireless for combined connection speeds of up to 1200 Mbps(867 Mbps on 5GHz and 300 Mbps on 2.4 GHz) , Layer 2/3, and high quality VoIP,</w:t>
      </w:r>
      <w: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  <w:t xml:space="preserve"> </w:t>
      </w:r>
      <w: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  <w:t xml:space="preserve">It adopts single fiber WDM technology with downlink wavelength 1490nm, uplink wavelength 1310nm, HT3421GWV-D FTTH GPON ONU </w:t>
      </w:r>
      <w:proofErr w:type="spellStart"/>
      <w: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  <w:t>WiFi</w:t>
      </w:r>
      <w:proofErr w:type="spellEnd"/>
      <w: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  <w:t xml:space="preserve"> support the comprehensive triple-play services, including voice, video (IPTV or </w:t>
      </w:r>
      <w:proofErr w:type="spellStart"/>
      <w: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  <w:t>VoD</w:t>
      </w:r>
      <w:proofErr w:type="spellEnd"/>
      <w: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  <w:t>), and high-speed internet access service.</w:t>
      </w:r>
    </w:p>
    <w:p>
      <w:pP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rFonts w:ascii="等线 Light" w:eastAsia="等线 Light" w:hAnsi="等线 Light" w:cs="Helvetica"/>
          <w:kern w:val="0"/>
          <w:szCs w:val="21"/>
        </w:rPr>
      </w:pPr>
      <w:r>
        <w:rPr>
          <w:rFonts w:ascii="等线 Light" w:eastAsia="等线 Light" w:hAnsi="等线 Light" w:cs="Arial"/>
          <w:b/>
          <w:bCs/>
          <w:kern w:val="0"/>
          <w:szCs w:val="21"/>
        </w:rPr>
        <w:t xml:space="preserve">Key Feature 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446"/>
      </w:tblGrid>
      <w:tr>
        <w:trPr>
          <w:trHeight w:val="106"/>
        </w:trPr>
        <w:tc>
          <w:tcPr>
            <w:tcW w:w="2273" w:type="dxa"/>
            <w:shd w:val="clear" w:color="auto" w:fill="009EE0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FFFFFF"/>
                <w:kern w:val="0"/>
                <w:szCs w:val="21"/>
              </w:rPr>
              <w:t> Features</w:t>
            </w:r>
          </w:p>
        </w:tc>
        <w:tc>
          <w:tcPr>
            <w:tcW w:w="7446" w:type="dxa"/>
            <w:shd w:val="clear" w:color="auto" w:fill="009EE0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000080"/>
                <w:kern w:val="0"/>
                <w:szCs w:val="21"/>
              </w:rPr>
              <w:t> </w:t>
            </w:r>
            <w:r>
              <w:rPr>
                <w:rFonts w:ascii="等线 Light" w:eastAsia="等线 Light" w:hAnsi="等线 Light" w:cs="Arial"/>
                <w:b/>
                <w:bCs/>
                <w:color w:val="FFFFFF"/>
                <w:kern w:val="0"/>
                <w:szCs w:val="21"/>
              </w:rPr>
              <w:t>RL841GWV-D</w:t>
            </w:r>
          </w:p>
        </w:tc>
      </w:tr>
      <w:tr>
        <w:trPr>
          <w:trHeight w:val="106"/>
        </w:trPr>
        <w:tc>
          <w:tcPr>
            <w:tcW w:w="2273" w:type="dxa"/>
            <w:vMerge w:val="restart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GPON Features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Compliant with ITU-T G.984 GPON standard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FEC (Forward Error Correction) in both upstream and downstream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QoS scheduling based on SP or WRR between GEM port and T-CONT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Downstream multicast GEM port and broadcast GEM port</w:t>
            </w:r>
          </w:p>
        </w:tc>
      </w:tr>
      <w:tr>
        <w:trPr>
          <w:trHeight w:val="106"/>
        </w:trPr>
        <w:tc>
          <w:tcPr>
            <w:tcW w:w="2273" w:type="dxa"/>
            <w:vMerge w:val="restart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Ethernet Feature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Support Auto-speed and MDI/MDIX auto detection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Internal L2 switch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 xml:space="preserve"> Advanced data processing </w:t>
            </w:r>
            <w:proofErr w:type="spellStart"/>
            <w:proofErr w:type="gramStart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function,</w:t>
            </w: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s</w:t>
            </w: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uch</w:t>
            </w:r>
            <w:proofErr w:type="spellEnd"/>
            <w:proofErr w:type="gramEnd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 xml:space="preserve"> as VLAN label processing, flow classification</w:t>
            </w:r>
          </w:p>
        </w:tc>
      </w:tr>
      <w:tr>
        <w:trPr>
          <w:trHeight w:val="106"/>
        </w:trPr>
        <w:tc>
          <w:tcPr>
            <w:tcW w:w="2273" w:type="dxa"/>
            <w:vMerge w:val="restart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Gateway Feature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WAN support Router and Bridge mode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 xml:space="preserve"> Router mode supports </w:t>
            </w:r>
            <w:proofErr w:type="spellStart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PPPoE</w:t>
            </w:r>
            <w:proofErr w:type="spellEnd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/DHCP/ static IP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WAN support Internet、VoIP、IPTV、TR069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LAN supports DHCP and static IP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Support NAT and NAPT</w:t>
            </w:r>
          </w:p>
        </w:tc>
      </w:tr>
      <w:tr>
        <w:trPr>
          <w:trHeight w:val="8"/>
        </w:trPr>
        <w:tc>
          <w:tcPr>
            <w:tcW w:w="2273" w:type="dxa"/>
            <w:vMerge w:val="restart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VoIP Feature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Support SIP (RFC3261) or MEGACO v2 (H.248)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Support Voice coding: ITU-T G.711/G.723/G.726/G.729, auto-negotiate with call agent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Support Echo cancellation exceeding ITU-T G.165/G.168-2002, up to 128ms tail length</w:t>
            </w:r>
          </w:p>
        </w:tc>
      </w:tr>
      <w:tr>
        <w:trPr>
          <w:trHeight w:val="106"/>
        </w:trPr>
        <w:tc>
          <w:tcPr>
            <w:tcW w:w="2273" w:type="dxa"/>
            <w:vMerge w:val="restart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WIFI Feature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867 Mbps on 5GHz and 300 Mbps on 2.4 GHz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IEEE 802.11 ac/n/g/b/a wireless LAN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2.4 GHz band: 2400 – 2483.5 MHz,5 GHz band: 5150 – 5725 MHz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WEP、WPA-PSK、WPA2-PSK and other encryption</w:t>
            </w:r>
          </w:p>
        </w:tc>
      </w:tr>
      <w:tr>
        <w:trPr>
          <w:trHeight w:val="106"/>
        </w:trPr>
        <w:tc>
          <w:tcPr>
            <w:tcW w:w="2273" w:type="dxa"/>
            <w:vMerge w:val="restart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OAM Feature</w:t>
            </w: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 xml:space="preserve"> Standard OMCI (the embedded operations </w:t>
            </w:r>
            <w:proofErr w:type="gramStart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channel)compliant</w:t>
            </w:r>
            <w:proofErr w:type="gramEnd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 xml:space="preserve"> with ITU-T G.988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Compliant with TR-069 standard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Compliant with TR-098、TR-140 terminal integrated management interface</w:t>
            </w:r>
          </w:p>
        </w:tc>
      </w:tr>
      <w:tr>
        <w:trPr>
          <w:trHeight w:val="1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</w:p>
        </w:tc>
        <w:tc>
          <w:tcPr>
            <w:tcW w:w="7446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Alarm reporting, performance monitoring</w:t>
            </w:r>
          </w:p>
        </w:tc>
      </w:tr>
    </w:tbl>
    <w:p>
      <w:pPr>
        <w:rPr>
          <w:rFonts w:ascii="等线 Light" w:eastAsia="等线 Light" w:hAnsi="等线 Light" w:cs="Arial"/>
          <w:color w:val="444444"/>
          <w:szCs w:val="21"/>
          <w:shd w:val="clear" w:color="auto" w:fill="FFFFFF"/>
        </w:rPr>
      </w:pPr>
    </w:p>
    <w:p>
      <w:pPr>
        <w:rPr>
          <w:rFonts w:ascii="等线 Light" w:eastAsia="等线 Light" w:hAnsi="等线 Light" w:cs="Arial"/>
          <w:b/>
          <w:bCs/>
          <w:color w:val="444444"/>
          <w:szCs w:val="21"/>
          <w:shd w:val="clear" w:color="auto" w:fill="FFFFFF"/>
        </w:rPr>
      </w:pPr>
      <w:r>
        <w:rPr>
          <w:rFonts w:ascii="等线 Light" w:eastAsia="等线 Light" w:hAnsi="等线 Light" w:cs="Arial" w:hint="eastAsia"/>
          <w:b/>
          <w:bCs/>
          <w:color w:val="444444"/>
          <w:szCs w:val="21"/>
          <w:shd w:val="clear" w:color="auto" w:fill="FFFFFF"/>
        </w:rPr>
        <w:t>T</w:t>
      </w:r>
      <w:r>
        <w:rPr>
          <w:rFonts w:ascii="等线 Light" w:eastAsia="等线 Light" w:hAnsi="等线 Light" w:cs="Arial"/>
          <w:b/>
          <w:bCs/>
          <w:color w:val="444444"/>
          <w:szCs w:val="21"/>
          <w:shd w:val="clear" w:color="auto" w:fill="FFFFFF"/>
        </w:rPr>
        <w:t>echnical specifications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6677"/>
      </w:tblGrid>
      <w:tr>
        <w:trPr>
          <w:trHeight w:val="365"/>
        </w:trPr>
        <w:tc>
          <w:tcPr>
            <w:tcW w:w="9451" w:type="dxa"/>
            <w:gridSpan w:val="2"/>
            <w:shd w:val="clear" w:color="auto" w:fill="009EE0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FFFFFF"/>
                <w:kern w:val="0"/>
                <w:szCs w:val="21"/>
              </w:rPr>
              <w:t>GPON Interface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Rate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</w:t>
            </w:r>
            <w:proofErr w:type="spellStart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Upsteam</w:t>
            </w:r>
            <w:proofErr w:type="spellEnd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 xml:space="preserve">: 1.244Gbps </w:t>
            </w:r>
            <w:proofErr w:type="spellStart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Downsteam</w:t>
            </w:r>
            <w:proofErr w:type="spellEnd"/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: 2.488Gbps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Interface standard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ITU-T G.984.2/ITU-T G.984.3/ITU-TG.988 Class B+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Launch power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Min: 0dBm   Max: +5dBm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Sensitivity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-27dBm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Input Power Overload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-8dBm</w:t>
            </w:r>
          </w:p>
        </w:tc>
      </w:tr>
      <w:tr>
        <w:trPr>
          <w:trHeight w:val="365"/>
        </w:trPr>
        <w:tc>
          <w:tcPr>
            <w:tcW w:w="9451" w:type="dxa"/>
            <w:gridSpan w:val="2"/>
            <w:shd w:val="clear" w:color="auto" w:fill="009EE0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FFFFFF"/>
                <w:kern w:val="0"/>
                <w:szCs w:val="21"/>
              </w:rPr>
              <w:t> Service Interface</w:t>
            </w:r>
          </w:p>
        </w:tc>
      </w:tr>
      <w:tr>
        <w:trPr>
          <w:trHeight w:val="380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GPON Interface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1 GPON Port</w:t>
            </w:r>
          </w:p>
        </w:tc>
      </w:tr>
      <w:tr>
        <w:trPr>
          <w:trHeight w:val="304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Data Interface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1 GE + 1FE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POTS Interface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1 FXS Port</w:t>
            </w:r>
          </w:p>
        </w:tc>
      </w:tr>
      <w:tr>
        <w:trPr>
          <w:trHeight w:val="304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WIFI Interface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  <w:t> </w:t>
            </w: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IEEE 802.11 ac/n/g/b/a wireless LAN</w:t>
            </w:r>
          </w:p>
        </w:tc>
      </w:tr>
      <w:tr>
        <w:trPr>
          <w:trHeight w:val="274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Antenna Type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4 external antennas</w:t>
            </w:r>
          </w:p>
        </w:tc>
      </w:tr>
      <w:tr>
        <w:trPr>
          <w:trHeight w:val="365"/>
        </w:trPr>
        <w:tc>
          <w:tcPr>
            <w:tcW w:w="9451" w:type="dxa"/>
            <w:gridSpan w:val="2"/>
            <w:shd w:val="clear" w:color="auto" w:fill="009EE0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FFFFFF"/>
                <w:kern w:val="0"/>
                <w:szCs w:val="21"/>
              </w:rPr>
              <w:t> Environmental conditions</w:t>
            </w:r>
            <w:r>
              <w:rPr>
                <w:rFonts w:ascii="等线 Light" w:eastAsia="等线 Light" w:hAnsi="等线 Light" w:cs="Arial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rPr>
          <w:trHeight w:val="380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Storage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temperature -10 to 70°C, rel. humidity 10–90% (non-condensing)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Operation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temperature 0 to 45°C, rel. humidity 10–90% (non-condensing)</w:t>
            </w:r>
          </w:p>
        </w:tc>
      </w:tr>
      <w:tr>
        <w:trPr>
          <w:trHeight w:val="365"/>
        </w:trPr>
        <w:tc>
          <w:tcPr>
            <w:tcW w:w="9451" w:type="dxa"/>
            <w:gridSpan w:val="2"/>
            <w:shd w:val="clear" w:color="auto" w:fill="009EE0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FFFFFF"/>
                <w:kern w:val="0"/>
                <w:szCs w:val="21"/>
              </w:rPr>
              <w:t> Power Supply and Consumption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Power Adaptor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Input: 100 to 240 V AC, 50/60 Hz; Output: 12 V, 1A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333333"/>
                <w:kern w:val="0"/>
                <w:szCs w:val="21"/>
              </w:rPr>
              <w:t> </w:t>
            </w: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Consumption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≤10W</w:t>
            </w:r>
          </w:p>
        </w:tc>
      </w:tr>
      <w:tr>
        <w:trPr>
          <w:trHeight w:val="365"/>
        </w:trPr>
        <w:tc>
          <w:tcPr>
            <w:tcW w:w="9451" w:type="dxa"/>
            <w:gridSpan w:val="2"/>
            <w:shd w:val="clear" w:color="auto" w:fill="009EE0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color w:val="FFFFFF"/>
                <w:kern w:val="0"/>
                <w:szCs w:val="21"/>
              </w:rPr>
              <w:t> Physical specifications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Dimensions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236mm×210mm×31mm（L×W×H）</w:t>
            </w:r>
          </w:p>
        </w:tc>
      </w:tr>
      <w:tr>
        <w:trPr>
          <w:trHeight w:val="365"/>
        </w:trPr>
        <w:tc>
          <w:tcPr>
            <w:tcW w:w="2774" w:type="dxa"/>
            <w:shd w:val="clear" w:color="auto" w:fill="D7EDFB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Weight</w:t>
            </w:r>
          </w:p>
        </w:tc>
        <w:tc>
          <w:tcPr>
            <w:tcW w:w="6677" w:type="dxa"/>
            <w:shd w:val="clear" w:color="auto" w:fill="auto"/>
            <w:vAlign w:val="center"/>
            <w:hideMark/>
          </w:tcPr>
          <w:p>
            <w:pPr>
              <w:widowControl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0.26KG</w:t>
            </w:r>
          </w:p>
        </w:tc>
      </w:tr>
    </w:tbl>
    <w:p>
      <w:pPr>
        <w:widowControl/>
        <w:shd w:val="clear" w:color="auto" w:fill="FFFFFF"/>
        <w:rPr>
          <w:rFonts w:ascii="等线 Light" w:eastAsia="等线 Light" w:hAnsi="等线 Light" w:cs="Arial"/>
          <w:b/>
          <w:bCs/>
          <w:color w:val="000080"/>
          <w:kern w:val="0"/>
          <w:szCs w:val="21"/>
        </w:rPr>
      </w:pPr>
      <w:r>
        <w:rPr>
          <w:rFonts w:ascii="等线 Light" w:eastAsia="等线 Light" w:hAnsi="等线 Light" w:cs="Arial"/>
          <w:b/>
          <w:bCs/>
          <w:color w:val="000080"/>
          <w:kern w:val="0"/>
          <w:szCs w:val="21"/>
        </w:rPr>
        <w:t> </w:t>
      </w:r>
    </w:p>
    <w:p>
      <w:pPr>
        <w:rPr>
          <w:rFonts w:ascii="等线 Light" w:eastAsia="等线 Light" w:hAnsi="等线 Light"/>
          <w:szCs w:val="21"/>
        </w:rPr>
      </w:pPr>
    </w:p>
    <w:p>
      <w:pPr>
        <w:rPr>
          <w:rFonts w:ascii="等线 Light" w:eastAsia="等线 Light" w:hAnsi="等线 Light"/>
          <w:b/>
          <w:bCs/>
          <w:szCs w:val="21"/>
        </w:rPr>
      </w:pPr>
      <w:r>
        <w:rPr>
          <w:rFonts w:ascii="等线 Light" w:eastAsia="等线 Light" w:hAnsi="等线 Light" w:hint="eastAsia"/>
          <w:b/>
          <w:bCs/>
          <w:szCs w:val="21"/>
        </w:rPr>
        <w:t>T</w:t>
      </w:r>
      <w:r>
        <w:rPr>
          <w:rFonts w:ascii="等线 Light" w:eastAsia="等线 Light" w:hAnsi="等线 Light"/>
          <w:b/>
          <w:bCs/>
          <w:szCs w:val="21"/>
        </w:rPr>
        <w:t>ypical application</w:t>
      </w:r>
    </w:p>
    <w:p>
      <w:pPr>
        <w:rPr>
          <w:rFonts w:ascii="等线 Light" w:eastAsia="等线 Light" w:hAnsi="等线 Light" w:hint="eastAsia"/>
          <w:noProof/>
          <w:szCs w:val="21"/>
        </w:rPr>
      </w:pPr>
      <w:r>
        <w:rPr>
          <w:rFonts w:ascii="等线 Light" w:eastAsia="等线 Light" w:hAnsi="等线 Light" w:hint="eastAsia"/>
          <w:noProof/>
          <w:szCs w:val="21"/>
        </w:rPr>
        <w:lastRenderedPageBreak/>
        <w:drawing>
          <wp:inline distT="0" distB="0" distL="0" distR="0">
            <wp:extent cx="5274310" cy="25380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 Light" w:eastAsia="等线 Light" w:hAnsi="等线 Light" w:hint="eastAsia"/>
          <w:noProof/>
          <w:szCs w:val="21"/>
        </w:rPr>
      </w:pPr>
    </w:p>
    <w:p>
      <w:pPr>
        <w:rPr>
          <w:rFonts w:ascii="等线 Light" w:eastAsia="等线 Light" w:hAnsi="等线 Light"/>
          <w:b/>
          <w:bCs/>
          <w:szCs w:val="21"/>
        </w:rPr>
      </w:pPr>
      <w:r>
        <w:rPr>
          <w:rFonts w:ascii="等线 Light" w:eastAsia="等线 Light" w:hAnsi="等线 Light" w:hint="eastAsia"/>
          <w:b/>
          <w:bCs/>
          <w:szCs w:val="21"/>
        </w:rPr>
        <w:t>O</w:t>
      </w:r>
      <w:r>
        <w:rPr>
          <w:rFonts w:ascii="等线 Light" w:eastAsia="等线 Light" w:hAnsi="等线 Light"/>
          <w:b/>
          <w:bCs/>
          <w:szCs w:val="21"/>
        </w:rPr>
        <w:t>rdering information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>
        <w:tc>
          <w:tcPr>
            <w:tcW w:w="1696" w:type="dxa"/>
            <w:vAlign w:val="center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Cs w:val="21"/>
              </w:rPr>
              <w:t> Model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b/>
                <w:bCs/>
                <w:kern w:val="0"/>
                <w:szCs w:val="21"/>
              </w:rPr>
              <w:t> Product Description</w:t>
            </w:r>
          </w:p>
        </w:tc>
      </w:tr>
      <w:tr>
        <w:tc>
          <w:tcPr>
            <w:tcW w:w="1696" w:type="dxa"/>
            <w:vAlign w:val="center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 </w:t>
            </w:r>
            <w:r>
              <w:rPr>
                <w:rFonts w:ascii="等线 Light" w:eastAsia="等线 Light" w:hAnsi="等线 Light" w:cs="Arial"/>
                <w:color w:val="444444"/>
                <w:szCs w:val="21"/>
                <w:shd w:val="clear" w:color="auto" w:fill="FFFFFF"/>
              </w:rPr>
              <w:t>HT3421GWV-D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jc w:val="left"/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</w:pPr>
            <w:r>
              <w:rPr>
                <w:rFonts w:ascii="等线 Light" w:eastAsia="等线 Light" w:hAnsi="等线 Light" w:cs="Helvetica"/>
                <w:color w:val="333333"/>
                <w:kern w:val="0"/>
                <w:szCs w:val="21"/>
              </w:rPr>
              <w:t> </w:t>
            </w:r>
            <w:r>
              <w:rPr>
                <w:rFonts w:ascii="等线 Light" w:eastAsia="等线 Light" w:hAnsi="等线 Light" w:cs="Arial"/>
                <w:color w:val="333333"/>
                <w:kern w:val="0"/>
                <w:szCs w:val="21"/>
              </w:rPr>
              <w:t>GPON ONU 1GE+1FE+1POTS+11n 2*2 +11ac 2*2, 4 x External Antennas 5DBI</w:t>
            </w:r>
          </w:p>
        </w:tc>
      </w:tr>
    </w:tbl>
    <w:p>
      <w:pPr>
        <w:rPr>
          <w:rFonts w:ascii="等线 Light" w:eastAsia="等线 Light" w:hAnsi="等线 Light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2A39-28CE-4738-94BF-29763F4A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1</cp:revision>
  <dcterms:created xsi:type="dcterms:W3CDTF">2020-02-24T03:50:00Z</dcterms:created>
  <dcterms:modified xsi:type="dcterms:W3CDTF">2020-02-24T04:03:00Z</dcterms:modified>
</cp:coreProperties>
</file>