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微软雅黑" w:eastAsia="微软雅黑" w:hAnsi="微软雅黑" w:cstheme="minorEastAsia"/>
          <w:b/>
          <w:bCs/>
          <w:color w:val="0000FF"/>
          <w:sz w:val="30"/>
          <w:szCs w:val="30"/>
        </w:rPr>
      </w:pPr>
      <w:r>
        <w:rPr>
          <w:rFonts w:ascii="微软雅黑" w:eastAsia="微软雅黑" w:hAnsi="微软雅黑" w:cstheme="minorEastAsia" w:hint="eastAsia"/>
          <w:b/>
          <w:bCs/>
          <w:color w:val="0000FF"/>
          <w:sz w:val="30"/>
          <w:szCs w:val="30"/>
        </w:rPr>
        <w:t>商业级千兆环网</w:t>
      </w:r>
      <w:r>
        <w:rPr>
          <w:rFonts w:ascii="微软雅黑" w:eastAsia="微软雅黑" w:hAnsi="微软雅黑" w:cstheme="minorEastAsia"/>
          <w:b/>
          <w:bCs/>
          <w:color w:val="0000FF"/>
          <w:sz w:val="30"/>
          <w:szCs w:val="30"/>
        </w:rPr>
        <w:t>2</w:t>
      </w:r>
      <w:r>
        <w:rPr>
          <w:rFonts w:ascii="微软雅黑" w:eastAsia="微软雅黑" w:hAnsi="微软雅黑" w:cstheme="minorEastAsia" w:hint="eastAsia"/>
          <w:b/>
          <w:bCs/>
          <w:color w:val="0000FF"/>
          <w:sz w:val="30"/>
          <w:szCs w:val="30"/>
        </w:rPr>
        <w:t>光</w:t>
      </w:r>
      <w:r>
        <w:rPr>
          <w:rFonts w:ascii="微软雅黑" w:eastAsia="微软雅黑" w:hAnsi="微软雅黑" w:cstheme="minorEastAsia"/>
          <w:b/>
          <w:bCs/>
          <w:color w:val="0000FF"/>
          <w:sz w:val="30"/>
          <w:szCs w:val="30"/>
        </w:rPr>
        <w:t>4</w:t>
      </w:r>
      <w:r>
        <w:rPr>
          <w:rFonts w:ascii="微软雅黑" w:eastAsia="微软雅黑" w:hAnsi="微软雅黑" w:cstheme="minorEastAsia" w:hint="eastAsia"/>
          <w:b/>
          <w:bCs/>
          <w:color w:val="0000FF"/>
          <w:sz w:val="30"/>
          <w:szCs w:val="30"/>
        </w:rPr>
        <w:t>电光纤交换机</w:t>
      </w:r>
    </w:p>
    <w:p>
      <w:pPr>
        <w:rPr>
          <w:rFonts w:ascii="微软雅黑" w:eastAsia="微软雅黑" w:hAnsi="微软雅黑" w:cstheme="minorEastAsia"/>
          <w:b/>
          <w:bCs/>
          <w:color w:val="0000FF"/>
          <w:sz w:val="30"/>
          <w:szCs w:val="30"/>
        </w:rPr>
      </w:pPr>
      <w:r>
        <w:rPr>
          <w:rFonts w:ascii="微软雅黑" w:eastAsia="微软雅黑" w:hAnsi="微软雅黑" w:cstheme="minorEastAsia" w:hint="eastAsia"/>
          <w:b/>
          <w:bCs/>
          <w:noProof/>
          <w:color w:val="0000FF"/>
          <w:sz w:val="30"/>
          <w:szCs w:val="30"/>
        </w:rPr>
        <w:drawing>
          <wp:inline distT="0" distB="0" distL="0" distR="0">
            <wp:extent cx="3666540" cy="16700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65" cy="16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 w:cstheme="minorEastAsia"/>
          <w:b/>
          <w:bCs/>
          <w:color w:val="0D0D0D" w:themeColor="text1" w:themeTint="F2"/>
          <w:sz w:val="18"/>
          <w:szCs w:val="18"/>
        </w:rPr>
      </w:pPr>
      <w:r>
        <w:rPr>
          <w:rFonts w:ascii="微软雅黑" w:eastAsia="微软雅黑" w:hAnsi="微软雅黑" w:cstheme="minorEastAsia" w:hint="eastAsia"/>
          <w:b/>
          <w:bCs/>
          <w:noProof/>
          <w:color w:val="0D0D0D" w:themeColor="text1" w:themeTint="F2"/>
          <w:sz w:val="18"/>
          <w:szCs w:val="18"/>
        </w:rPr>
        <w:drawing>
          <wp:inline distT="0" distB="0" distL="114300" distR="114300">
            <wp:extent cx="5266690" cy="353695"/>
            <wp:effectExtent l="0" t="0" r="10160" b="8255"/>
            <wp:docPr id="1" name="图片 1" descr="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简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此款工业级千兆环网光纤交换机，支持 1 </w:t>
      </w:r>
      <w:proofErr w:type="gramStart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个</w:t>
      </w:r>
      <w:proofErr w:type="gramEnd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 10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0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Base-T/10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0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0Base-TX </w:t>
      </w:r>
      <w:r>
        <w:rPr>
          <w:rFonts w:ascii="微软雅黑" w:eastAsia="微软雅黑" w:hAnsi="微软雅黑" w:cstheme="minorEastAsia" w:hint="eastAsia"/>
          <w:b/>
          <w:bCs/>
          <w:color w:val="0D0D0D" w:themeColor="text1" w:themeTint="F2"/>
          <w:szCs w:val="21"/>
        </w:rPr>
        <w:t>+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 xml:space="preserve"> 3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 个 10Base-T/1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0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0Base-TX </w:t>
      </w:r>
      <w:proofErr w:type="gramStart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电口</w:t>
      </w:r>
      <w:proofErr w:type="gramEnd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和 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2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 个 10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0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0Base-FX 光口。该产品符合 FCC、CE 标准，采用无风扇、低功耗、工业级设计，能够适应-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15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~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6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5℃的工作温度范围的恶劣工作环境，以便能够满足各种工业现场的要求，为您的以太网连接提供经济的解决方案。</w:t>
      </w:r>
    </w:p>
    <w:p>
      <w:pPr>
        <w:ind w:firstLineChars="400" w:firstLine="840"/>
        <w:rPr>
          <w:rFonts w:ascii="微软雅黑" w:eastAsia="微软雅黑" w:hAnsi="微软雅黑" w:cstheme="minorEastAsia"/>
          <w:color w:val="0D0D0D" w:themeColor="text1" w:themeTint="F2"/>
          <w:szCs w:val="21"/>
        </w:rPr>
      </w:pPr>
    </w:p>
    <w:p>
      <w:pPr>
        <w:rPr>
          <w:rFonts w:ascii="微软雅黑" w:eastAsia="微软雅黑" w:hAnsi="微软雅黑" w:cstheme="minorEastAsia"/>
          <w:b/>
          <w:bCs/>
          <w:color w:val="000000" w:themeColor="text1"/>
          <w:sz w:val="30"/>
          <w:szCs w:val="30"/>
        </w:rPr>
      </w:pPr>
      <w:r>
        <w:rPr>
          <w:rFonts w:ascii="微软雅黑" w:eastAsia="微软雅黑" w:hAnsi="微软雅黑" w:cstheme="minorEastAsia" w:hint="eastAsia"/>
          <w:b/>
          <w:bCs/>
          <w:noProof/>
          <w:color w:val="000000" w:themeColor="text1"/>
          <w:sz w:val="30"/>
          <w:szCs w:val="30"/>
        </w:rPr>
        <w:drawing>
          <wp:inline distT="0" distB="0" distL="0" distR="0">
            <wp:extent cx="3265805" cy="26098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hangingChars="100" w:hanging="210"/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◎支持2个1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0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/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100/1000M Base-</w:t>
      </w:r>
      <w:proofErr w:type="spellStart"/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Fx</w:t>
      </w:r>
      <w:proofErr w:type="spellEnd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 xml:space="preserve">光口，1 </w:t>
      </w:r>
      <w:proofErr w:type="gramStart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个</w:t>
      </w:r>
      <w:proofErr w:type="gramEnd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G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1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:10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/100/1000</w:t>
      </w:r>
      <w:r>
        <w:rPr>
          <w:rFonts w:ascii="微软雅黑" w:eastAsia="微软雅黑" w:hAnsi="微软雅黑" w:cstheme="minorEastAsia" w:hint="eastAsia"/>
          <w:b/>
          <w:bCs/>
          <w:color w:val="0D0D0D" w:themeColor="text1" w:themeTint="F2"/>
          <w:szCs w:val="21"/>
        </w:rPr>
        <w:t xml:space="preserve"> +</w:t>
      </w:r>
      <w:r>
        <w:rPr>
          <w:rFonts w:ascii="微软雅黑" w:eastAsia="微软雅黑" w:hAnsi="微软雅黑" w:cstheme="minorEastAsia"/>
          <w:b/>
          <w:bCs/>
          <w:color w:val="0D0D0D" w:themeColor="text1" w:themeTint="F2"/>
          <w:szCs w:val="21"/>
        </w:rPr>
        <w:t xml:space="preserve"> 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3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个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10/100M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自适应电口</w:t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◎支持 IEEE802.3/802.3u/802.3x/802.3z 存储转发方式</w:t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◎支持星型、链型、自愈环等多种组网方式</w:t>
      </w:r>
    </w:p>
    <w:p>
      <w:pPr>
        <w:ind w:left="210" w:hangingChars="100" w:hanging="210"/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◎支持基于端口的V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LAN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、I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EEE802.lqVLAN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，有效隔离网络冲突，隔离广播包，具备广播风暴防止功能</w:t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◎支持IGMP Snooping，有效过滤多播包</w:t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◎支持冗余环网保护RSTP、STP、</w:t>
      </w:r>
      <w:proofErr w:type="spellStart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WTRing</w:t>
      </w:r>
      <w:proofErr w:type="spellEnd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（</w:t>
      </w:r>
      <w:proofErr w:type="spellStart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WTReal-TimeRing</w:t>
      </w:r>
      <w:proofErr w:type="spellEnd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）等，自愈保护时间&lt;20ms</w:t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◎支持W</w:t>
      </w:r>
      <w:r>
        <w:rPr>
          <w:rFonts w:ascii="微软雅黑" w:eastAsia="微软雅黑" w:hAnsi="微软雅黑" w:cstheme="minorEastAsia"/>
          <w:color w:val="0D0D0D" w:themeColor="text1" w:themeTint="F2"/>
          <w:szCs w:val="21"/>
        </w:rPr>
        <w:t>EB</w:t>
      </w:r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、Telnet、</w:t>
      </w:r>
      <w:proofErr w:type="spellStart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SerialConsole</w:t>
      </w:r>
      <w:proofErr w:type="spellEnd"/>
      <w:r>
        <w:rPr>
          <w:rFonts w:ascii="微软雅黑" w:eastAsia="微软雅黑" w:hAnsi="微软雅黑" w:cstheme="minorEastAsia" w:hint="eastAsia"/>
          <w:color w:val="0D0D0D" w:themeColor="text1" w:themeTint="F2"/>
          <w:szCs w:val="21"/>
        </w:rPr>
        <w:t>网管系统，功能强大，方便管理和维护</w:t>
      </w:r>
    </w:p>
    <w:p>
      <w:pPr>
        <w:rPr>
          <w:rFonts w:ascii="微软雅黑" w:eastAsia="微软雅黑" w:hAnsi="微软雅黑" w:cstheme="minorEastAsia"/>
          <w:b/>
          <w:bCs/>
          <w:color w:val="0D0D0D" w:themeColor="text1" w:themeTint="F2"/>
          <w:sz w:val="18"/>
          <w:szCs w:val="18"/>
        </w:rPr>
      </w:pP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 w:hint="eastAsia"/>
          <w:noProof/>
          <w:color w:val="0D0D0D" w:themeColor="text1" w:themeTint="F2"/>
          <w:szCs w:val="21"/>
        </w:rPr>
        <w:lastRenderedPageBreak/>
        <w:drawing>
          <wp:inline distT="0" distB="0" distL="114300" distR="114300">
            <wp:extent cx="5266690" cy="353695"/>
            <wp:effectExtent l="0" t="0" r="10160" b="8255"/>
            <wp:docPr id="6" name="图片 6" descr="规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规格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6961"/>
      </w:tblGrid>
      <w:tr>
        <w:trPr>
          <w:trHeight w:val="361"/>
        </w:trPr>
        <w:tc>
          <w:tcPr>
            <w:tcW w:w="1384" w:type="dxa"/>
          </w:tcPr>
          <w:p>
            <w:pPr>
              <w:spacing w:line="96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行业标准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标    准： IEEE802.3 、 IEEE802.3u 、 IEEE802.3x 、</w:t>
            </w:r>
          </w:p>
          <w:p>
            <w:pPr>
              <w:snapToGrid w:val="0"/>
              <w:spacing w:line="18" w:lineRule="atLeast"/>
              <w:ind w:right="560" w:firstLineChars="600" w:firstLine="1260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IEEE802.3z、TS-1000std.version 2</w:t>
            </w:r>
          </w:p>
          <w:p>
            <w:pPr>
              <w:snapToGrid w:val="0"/>
              <w:spacing w:line="18" w:lineRule="atLeast"/>
              <w:ind w:right="560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流量控制：IEEE802.3x 、Back Pressure</w:t>
            </w:r>
          </w:p>
          <w:p>
            <w:pPr>
              <w:snapToGrid w:val="0"/>
              <w:spacing w:line="18" w:lineRule="atLeast"/>
              <w:ind w:right="560"/>
              <w:rPr>
                <w:rFonts w:ascii="微软雅黑" w:eastAsia="微软雅黑" w:hAnsi="微软雅黑" w:cstheme="minorEastAsia"/>
                <w:szCs w:val="21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77"/>
              </w:tabs>
              <w:spacing w:line="132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接口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theme="minorEastAsia" w:hint="eastAsia"/>
                <w:szCs w:val="21"/>
              </w:rPr>
              <w:t>千兆光口</w:t>
            </w:r>
            <w:proofErr w:type="gramEnd"/>
            <w:r>
              <w:rPr>
                <w:rFonts w:ascii="微软雅黑" w:eastAsia="微软雅黑" w:hAnsi="微软雅黑" w:cstheme="minorEastAsia" w:hint="eastAsia"/>
                <w:szCs w:val="21"/>
              </w:rPr>
              <w:t>：10</w:t>
            </w:r>
            <w:r>
              <w:rPr>
                <w:rFonts w:ascii="微软雅黑" w:eastAsia="微软雅黑" w:hAnsi="微软雅黑" w:cstheme="minorEastAsia"/>
                <w:szCs w:val="21"/>
              </w:rPr>
              <w:t>0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>0Base-FX，接口 SC/ST/FC 可选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百兆电口：10Base-T/100Base-TX，RJ45，自动流速控制，</w:t>
            </w:r>
          </w:p>
          <w:p>
            <w:pPr>
              <w:tabs>
                <w:tab w:val="left" w:pos="2392"/>
              </w:tabs>
              <w:snapToGrid w:val="0"/>
              <w:spacing w:line="18" w:lineRule="atLeast"/>
              <w:ind w:firstLineChars="500" w:firstLine="1050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全/半双工模式和 MDI/MDI-X 自动侦测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theme="minorEastAsia" w:hint="eastAsia"/>
                <w:szCs w:val="21"/>
              </w:rPr>
              <w:t>千兆电口</w:t>
            </w:r>
            <w:proofErr w:type="gramEnd"/>
            <w:r>
              <w:rPr>
                <w:rFonts w:ascii="微软雅黑" w:eastAsia="微软雅黑" w:hAnsi="微软雅黑" w:cstheme="minorEastAsia" w:hint="eastAsia"/>
                <w:szCs w:val="21"/>
              </w:rPr>
              <w:t>：10</w:t>
            </w:r>
            <w:r>
              <w:rPr>
                <w:rFonts w:ascii="微软雅黑" w:eastAsia="微软雅黑" w:hAnsi="微软雅黑" w:cstheme="minorEastAsia"/>
                <w:szCs w:val="21"/>
              </w:rPr>
              <w:t>0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>Base-T/1</w:t>
            </w:r>
            <w:r>
              <w:rPr>
                <w:rFonts w:ascii="微软雅黑" w:eastAsia="微软雅黑" w:hAnsi="微软雅黑" w:cstheme="minorEastAsia"/>
                <w:szCs w:val="21"/>
              </w:rPr>
              <w:t>0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>00Base-TX，RJ45，自动流速控制，</w:t>
            </w:r>
          </w:p>
          <w:p>
            <w:pPr>
              <w:tabs>
                <w:tab w:val="left" w:pos="2392"/>
              </w:tabs>
              <w:snapToGrid w:val="0"/>
              <w:spacing w:line="18" w:lineRule="atLeast"/>
              <w:ind w:firstLineChars="500" w:firstLine="1050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全/半双工模式和 MDI/MDI-X 自动侦测</w:t>
            </w:r>
          </w:p>
          <w:p>
            <w:pPr>
              <w:tabs>
                <w:tab w:val="left" w:pos="2392"/>
              </w:tabs>
              <w:snapToGrid w:val="0"/>
              <w:spacing w:line="18" w:lineRule="atLeast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538"/>
              </w:tabs>
              <w:spacing w:line="132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交换属性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传输方式：存储转发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百兆转发速度：148810pps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缓存大小：0</w:t>
            </w:r>
            <w:r>
              <w:rPr>
                <w:rFonts w:ascii="微软雅黑" w:eastAsia="微软雅黑" w:hAnsi="微软雅黑" w:cstheme="minorEastAsia"/>
                <w:szCs w:val="21"/>
              </w:rPr>
              <w:t>.7M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 xml:space="preserve">bits        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MAC地址表：1K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交换时延：&lt;1</w:t>
            </w:r>
            <w:r>
              <w:rPr>
                <w:rFonts w:ascii="微软雅黑" w:eastAsia="微软雅黑" w:hAnsi="微软雅黑" w:cstheme="minorEastAsia"/>
                <w:szCs w:val="21"/>
              </w:rPr>
              <w:t>0μs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676"/>
              </w:tabs>
              <w:spacing w:line="96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指示灯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电源指示灯：PWR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theme="minorEastAsia" w:hint="eastAsia"/>
                <w:szCs w:val="21"/>
              </w:rPr>
              <w:t>光口连接</w:t>
            </w:r>
            <w:proofErr w:type="gramEnd"/>
            <w:r>
              <w:rPr>
                <w:rFonts w:ascii="微软雅黑" w:eastAsia="微软雅黑" w:hAnsi="微软雅黑" w:cstheme="minorEastAsia" w:hint="eastAsia"/>
                <w:szCs w:val="21"/>
              </w:rPr>
              <w:t>状态指示灯：</w:t>
            </w:r>
            <w:r>
              <w:rPr>
                <w:rFonts w:ascii="微软雅黑" w:eastAsia="微软雅黑" w:hAnsi="微软雅黑" w:cstheme="minorEastAsia"/>
                <w:szCs w:val="21"/>
              </w:rPr>
              <w:t>G2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>、</w:t>
            </w:r>
            <w:r>
              <w:rPr>
                <w:rFonts w:ascii="微软雅黑" w:eastAsia="微软雅黑" w:hAnsi="微软雅黑" w:cstheme="minorEastAsia"/>
                <w:szCs w:val="21"/>
              </w:rPr>
              <w:t>G3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系统指示灯：run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51"/>
              </w:tabs>
              <w:spacing w:line="1080" w:lineRule="auto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传输距离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双绞线：100M（标准 CAT5/CAT5e 线缆）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 xml:space="preserve">光纤：多模850nm/2Km </w:t>
            </w:r>
            <w:r>
              <w:rPr>
                <w:rFonts w:ascii="微软雅黑" w:eastAsia="微软雅黑" w:hAnsi="微软雅黑" w:cstheme="minor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>多模1310nm/2Km/5Km</w:t>
            </w:r>
          </w:p>
          <w:p>
            <w:pPr>
              <w:snapToGrid w:val="0"/>
              <w:spacing w:line="18" w:lineRule="atLeast"/>
              <w:ind w:firstLineChars="300" w:firstLine="630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单模1310-1550nm  20/40/60/80/100Km</w:t>
            </w:r>
          </w:p>
          <w:p>
            <w:pPr>
              <w:snapToGrid w:val="0"/>
              <w:spacing w:line="18" w:lineRule="atLeast"/>
              <w:ind w:firstLineChars="300" w:firstLine="630"/>
              <w:rPr>
                <w:rFonts w:ascii="微软雅黑" w:eastAsia="微软雅黑" w:hAnsi="微软雅黑" w:cstheme="minorEastAsia"/>
                <w:szCs w:val="21"/>
              </w:rPr>
            </w:pPr>
          </w:p>
        </w:tc>
      </w:tr>
      <w:tr>
        <w:trPr>
          <w:trHeight w:val="1523"/>
        </w:trPr>
        <w:tc>
          <w:tcPr>
            <w:tcW w:w="1384" w:type="dxa"/>
          </w:tcPr>
          <w:p>
            <w:pPr>
              <w:tabs>
                <w:tab w:val="left" w:pos="664"/>
              </w:tabs>
              <w:spacing w:line="144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电源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输入电压：</w:t>
            </w:r>
            <w:r>
              <w:rPr>
                <w:rFonts w:ascii="微软雅黑" w:eastAsia="微软雅黑" w:hAnsi="微软雅黑" w:cstheme="minorEastAsia"/>
                <w:szCs w:val="21"/>
              </w:rPr>
              <w:t>12V DC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功耗：整机功耗≤1</w:t>
            </w:r>
            <w:r>
              <w:rPr>
                <w:rFonts w:ascii="微软雅黑" w:eastAsia="微软雅黑" w:hAnsi="微软雅黑" w:cstheme="minorEastAsia"/>
                <w:szCs w:val="21"/>
              </w:rPr>
              <w:t>0.0W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 xml:space="preserve"> 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过载保护：支持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反接保护：支持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冗余保护：支持</w:t>
            </w:r>
          </w:p>
        </w:tc>
      </w:tr>
      <w:tr>
        <w:tc>
          <w:tcPr>
            <w:tcW w:w="1384" w:type="dxa"/>
          </w:tcPr>
          <w:p>
            <w:pPr>
              <w:tabs>
                <w:tab w:val="left" w:pos="701"/>
              </w:tabs>
              <w:spacing w:line="72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工作环境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ind w:right="2706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工作温度：-</w:t>
            </w:r>
            <w:r>
              <w:rPr>
                <w:rFonts w:ascii="微软雅黑" w:eastAsia="微软雅黑" w:hAnsi="微软雅黑" w:cstheme="minorEastAsia"/>
                <w:szCs w:val="21"/>
              </w:rPr>
              <w:t>15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>～6</w:t>
            </w:r>
            <w:r>
              <w:rPr>
                <w:rFonts w:ascii="微软雅黑" w:eastAsia="微软雅黑" w:hAnsi="微软雅黑" w:cstheme="minorEastAsia"/>
                <w:szCs w:val="21"/>
              </w:rPr>
              <w:t>5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 xml:space="preserve">℃   </w:t>
            </w:r>
          </w:p>
          <w:p>
            <w:pPr>
              <w:snapToGrid w:val="0"/>
              <w:spacing w:line="18" w:lineRule="atLeast"/>
              <w:ind w:right="2706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存储温度：-4</w:t>
            </w:r>
            <w:r>
              <w:rPr>
                <w:rFonts w:ascii="微软雅黑" w:eastAsia="微软雅黑" w:hAnsi="微软雅黑" w:cstheme="minorEastAsia"/>
                <w:szCs w:val="21"/>
              </w:rPr>
              <w:t>5</w:t>
            </w:r>
            <w:r>
              <w:rPr>
                <w:rFonts w:ascii="微软雅黑" w:eastAsia="微软雅黑" w:hAnsi="微软雅黑" w:cstheme="minorEastAsia" w:hint="eastAsia"/>
                <w:szCs w:val="21"/>
              </w:rPr>
              <w:t>～85℃</w:t>
            </w:r>
          </w:p>
          <w:p>
            <w:pPr>
              <w:snapToGrid w:val="0"/>
              <w:spacing w:line="18" w:lineRule="atLeast"/>
              <w:ind w:right="2706"/>
              <w:rPr>
                <w:rFonts w:ascii="微软雅黑" w:eastAsia="微软雅黑" w:hAnsi="微软雅黑" w:cstheme="minorEastAsia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相对湿度：5%~95%（无凝露）</w:t>
            </w:r>
          </w:p>
        </w:tc>
      </w:tr>
      <w:tr>
        <w:tc>
          <w:tcPr>
            <w:tcW w:w="1384" w:type="dxa"/>
          </w:tcPr>
          <w:p>
            <w:pPr>
              <w:tabs>
                <w:tab w:val="left" w:pos="701"/>
              </w:tabs>
              <w:spacing w:line="96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lastRenderedPageBreak/>
              <w:t>机械结构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外壳：IP</w:t>
            </w:r>
            <w:r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  <w:t>40</w:t>
            </w: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br w:type="column"/>
              <w:t>防护等级，波纹式高强度金属外壳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安装：DIN卡轨式安装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尺寸（长×宽×高）：1</w:t>
            </w:r>
            <w:r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  <w:t>68</w:t>
            </w: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mm×1</w:t>
            </w:r>
            <w:r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  <w:t>20</w:t>
            </w: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mm×4</w:t>
            </w:r>
            <w:r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  <w:t>0</w:t>
            </w: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mm</w:t>
            </w:r>
          </w:p>
          <w:p>
            <w:pPr>
              <w:snapToGrid w:val="0"/>
              <w:spacing w:line="18" w:lineRule="atLeast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重量：0.6</w:t>
            </w:r>
            <w:r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  <w:t>5</w:t>
            </w: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KG</w:t>
            </w:r>
          </w:p>
        </w:tc>
      </w:tr>
      <w:tr>
        <w:tc>
          <w:tcPr>
            <w:tcW w:w="1384" w:type="dxa"/>
          </w:tcPr>
          <w:p>
            <w:pPr>
              <w:tabs>
                <w:tab w:val="left" w:pos="701"/>
              </w:tabs>
              <w:spacing w:line="72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质保</w:t>
            </w:r>
          </w:p>
        </w:tc>
        <w:tc>
          <w:tcPr>
            <w:tcW w:w="7138" w:type="dxa"/>
          </w:tcPr>
          <w:p>
            <w:pPr>
              <w:snapToGrid w:val="0"/>
              <w:spacing w:line="18" w:lineRule="atLeast"/>
              <w:ind w:right="2706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</w:p>
          <w:p>
            <w:pPr>
              <w:snapToGrid w:val="0"/>
              <w:spacing w:line="18" w:lineRule="atLeast"/>
              <w:ind w:right="2706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color w:val="0D0D0D" w:themeColor="text1" w:themeTint="F2"/>
                <w:szCs w:val="21"/>
              </w:rPr>
              <w:t>质保五年</w:t>
            </w:r>
          </w:p>
        </w:tc>
      </w:tr>
      <w:tr>
        <w:tc>
          <w:tcPr>
            <w:tcW w:w="1384" w:type="dxa"/>
          </w:tcPr>
          <w:p>
            <w:pPr>
              <w:tabs>
                <w:tab w:val="left" w:pos="701"/>
              </w:tabs>
              <w:spacing w:line="720" w:lineRule="auto"/>
              <w:jc w:val="center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b/>
                <w:bCs/>
                <w:color w:val="0D0D0D" w:themeColor="text1" w:themeTint="F2"/>
                <w:sz w:val="24"/>
              </w:rPr>
              <w:t>认证</w:t>
            </w:r>
          </w:p>
        </w:tc>
        <w:tc>
          <w:tcPr>
            <w:tcW w:w="7138" w:type="dxa"/>
          </w:tcPr>
          <w:p>
            <w:pPr>
              <w:tabs>
                <w:tab w:val="left" w:pos="701"/>
              </w:tabs>
              <w:snapToGrid w:val="0"/>
              <w:spacing w:line="18" w:lineRule="atLeast"/>
              <w:ind w:right="2706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  <w:tab/>
            </w:r>
          </w:p>
          <w:p>
            <w:pPr>
              <w:tabs>
                <w:tab w:val="left" w:pos="701"/>
              </w:tabs>
              <w:snapToGrid w:val="0"/>
              <w:spacing w:line="18" w:lineRule="atLeast"/>
              <w:ind w:right="2706"/>
              <w:rPr>
                <w:rFonts w:ascii="微软雅黑" w:eastAsia="微软雅黑" w:hAnsi="微软雅黑" w:cstheme="minorEastAsia"/>
                <w:color w:val="0D0D0D" w:themeColor="text1" w:themeTint="F2"/>
                <w:szCs w:val="21"/>
              </w:rPr>
            </w:pPr>
            <w:r>
              <w:rPr>
                <w:rFonts w:ascii="微软雅黑" w:eastAsia="微软雅黑" w:hAnsi="微软雅黑" w:cstheme="minorEastAsia" w:hint="eastAsia"/>
                <w:szCs w:val="21"/>
              </w:rPr>
              <w:t>CE、FCC、RoHS、MA、CNAS、IOS9001</w:t>
            </w:r>
          </w:p>
        </w:tc>
      </w:tr>
    </w:tbl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</w:p>
    <w:p>
      <w:pPr>
        <w:rPr>
          <w:rFonts w:ascii="微软雅黑" w:eastAsia="微软雅黑" w:hAnsi="微软雅黑" w:cstheme="minorEastAsia"/>
          <w:b/>
          <w:bCs/>
          <w:color w:val="0D0D0D" w:themeColor="text1" w:themeTint="F2"/>
          <w:szCs w:val="21"/>
        </w:rPr>
      </w:pPr>
      <w:r>
        <w:rPr>
          <w:rFonts w:ascii="微软雅黑" w:eastAsia="微软雅黑" w:hAnsi="微软雅黑" w:cstheme="minorEastAsia"/>
          <w:b/>
          <w:bCs/>
          <w:noProof/>
          <w:color w:val="0D0D0D" w:themeColor="text1" w:themeTint="F2"/>
          <w:szCs w:val="21"/>
        </w:rPr>
        <w:drawing>
          <wp:inline distT="0" distB="0" distL="0" distR="0">
            <wp:extent cx="3689350" cy="254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 w:cstheme="minorEastAsia"/>
          <w:color w:val="0D0D0D" w:themeColor="text1" w:themeTint="F2"/>
          <w:szCs w:val="21"/>
        </w:rPr>
      </w:pPr>
      <w:bookmarkStart w:id="0" w:name="_GoBack"/>
      <w:r>
        <w:rPr>
          <w:rFonts w:ascii="微软雅黑" w:eastAsia="微软雅黑" w:hAnsi="微软雅黑" w:cstheme="minorEastAsia" w:hint="eastAsia"/>
          <w:noProof/>
          <w:color w:val="0D0D0D" w:themeColor="text1" w:themeTint="F2"/>
          <w:szCs w:val="21"/>
        </w:rPr>
        <w:drawing>
          <wp:inline distT="0" distB="0" distL="0" distR="0">
            <wp:extent cx="4718050" cy="46164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h</w:t>
    </w:r>
    <w:r>
      <w:rPr>
        <w:sz w:val="21"/>
        <w:szCs w:val="21"/>
      </w:rPr>
      <w:t>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15950" cy="400449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0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5FAD24-5F5C-4078-B904-CFF896C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37683</dc:creator>
  <cp:lastModifiedBy>Allen ker</cp:lastModifiedBy>
  <cp:revision>5</cp:revision>
  <dcterms:created xsi:type="dcterms:W3CDTF">2019-12-23T09:07:00Z</dcterms:created>
  <dcterms:modified xsi:type="dcterms:W3CDTF">2020-03-28T08:37:00Z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